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 w:line="400" w:lineRule="exact"/>
        <w:rPr>
          <w:rFonts w:ascii="宋体" w:hAnsi="宋体" w:eastAsia="宋体" w:cs="Times New Roman"/>
          <w:bCs/>
          <w:iCs/>
          <w:color w:val="000000"/>
          <w:sz w:val="24"/>
          <w:szCs w:val="24"/>
        </w:rPr>
      </w:pPr>
      <w:r>
        <w:rPr>
          <w:rFonts w:hint="eastAsia" w:ascii="宋体" w:hAnsi="宋体" w:eastAsia="宋体" w:cs="Times New Roman"/>
          <w:bCs/>
          <w:iCs/>
          <w:color w:val="000000"/>
          <w:sz w:val="24"/>
          <w:szCs w:val="24"/>
        </w:rPr>
        <w:t>证券代码：300464                                  证券简称：星徽精密</w:t>
      </w:r>
    </w:p>
    <w:p>
      <w:pPr>
        <w:spacing w:before="156" w:beforeLines="50" w:after="156" w:afterLines="50" w:line="400" w:lineRule="exact"/>
        <w:jc w:val="center"/>
        <w:rPr>
          <w:rFonts w:ascii="宋体" w:hAnsi="宋体" w:eastAsia="宋体" w:cs="Times New Roman"/>
          <w:b/>
          <w:bCs/>
          <w:iCs/>
          <w:color w:val="000000"/>
          <w:sz w:val="32"/>
          <w:szCs w:val="32"/>
        </w:rPr>
      </w:pPr>
      <w:r>
        <w:rPr>
          <w:rFonts w:hint="eastAsia" w:ascii="宋体" w:hAnsi="宋体" w:eastAsia="宋体" w:cs="Times New Roman"/>
          <w:b/>
          <w:bCs/>
          <w:iCs/>
          <w:color w:val="000000"/>
          <w:sz w:val="32"/>
          <w:szCs w:val="32"/>
        </w:rPr>
        <w:t>广东星徽精密制造股份有限公司投资者关系活动记录表</w:t>
      </w:r>
    </w:p>
    <w:p>
      <w:pPr>
        <w:spacing w:line="400" w:lineRule="exact"/>
        <w:rPr>
          <w:rFonts w:hint="eastAsia" w:ascii="宋体" w:hAnsi="宋体" w:eastAsia="宋体" w:cs="Times New Roman"/>
          <w:bCs/>
          <w:iCs/>
          <w:color w:val="000000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Times New Roman"/>
          <w:bCs/>
          <w:iCs/>
          <w:color w:val="000000"/>
          <w:sz w:val="24"/>
          <w:szCs w:val="24"/>
        </w:rPr>
        <w:t xml:space="preserve">                                                       </w:t>
      </w:r>
      <w:r>
        <w:rPr>
          <w:rFonts w:hint="eastAsia" w:ascii="宋体" w:hAnsi="宋体" w:eastAsia="宋体" w:cs="Times New Roman"/>
          <w:bCs/>
          <w:iCs/>
          <w:color w:val="000000"/>
          <w:sz w:val="24"/>
          <w:szCs w:val="24"/>
          <w:highlight w:val="none"/>
        </w:rPr>
        <w:t xml:space="preserve">  编号：2020-0</w:t>
      </w:r>
      <w:r>
        <w:rPr>
          <w:rFonts w:hint="eastAsia" w:ascii="宋体" w:hAnsi="宋体" w:eastAsia="宋体" w:cs="Times New Roman"/>
          <w:bCs/>
          <w:iCs/>
          <w:color w:val="000000"/>
          <w:sz w:val="24"/>
          <w:szCs w:val="24"/>
          <w:highlight w:val="none"/>
          <w:lang w:val="en-US" w:eastAsia="zh-CN"/>
        </w:rPr>
        <w:t>1</w:t>
      </w:r>
    </w:p>
    <w:tbl>
      <w:tblPr>
        <w:tblStyle w:val="21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8"/>
        <w:gridCol w:w="66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tLeast"/>
              <w:rPr>
                <w:rFonts w:ascii="宋体" w:hAnsi="宋体" w:eastAsia="宋体" w:cs="Times New Roman"/>
                <w:bCs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iCs/>
                <w:color w:val="000000"/>
                <w:kern w:val="0"/>
                <w:sz w:val="24"/>
                <w:szCs w:val="24"/>
              </w:rPr>
              <w:t>投资者关系活动类别</w:t>
            </w:r>
          </w:p>
        </w:tc>
        <w:tc>
          <w:tcPr>
            <w:tcW w:w="6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tLeast"/>
              <w:rPr>
                <w:rFonts w:ascii="宋体" w:hAnsi="宋体" w:eastAsia="宋体" w:cs="Times New Roman"/>
                <w:bCs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iCs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</w:rPr>
              <w:t xml:space="preserve">特定对象调研        </w:t>
            </w:r>
            <w:r>
              <w:rPr>
                <w:rFonts w:hint="eastAsia" w:ascii="宋体" w:hAnsi="宋体" w:eastAsia="宋体" w:cs="Times New Roman"/>
                <w:kern w:val="0"/>
                <w:sz w:val="22"/>
                <w:szCs w:val="28"/>
              </w:rPr>
              <w:t>█</w:t>
            </w: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</w:rPr>
              <w:t>分析师会议</w:t>
            </w:r>
          </w:p>
          <w:p>
            <w:pPr>
              <w:spacing w:line="480" w:lineRule="atLeast"/>
              <w:rPr>
                <w:rFonts w:ascii="宋体" w:hAnsi="宋体" w:eastAsia="宋体" w:cs="Times New Roman"/>
                <w:bCs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iCs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</w:rPr>
              <w:t xml:space="preserve">媒体采访            </w:t>
            </w:r>
            <w:r>
              <w:rPr>
                <w:rFonts w:hint="eastAsia" w:ascii="宋体" w:hAnsi="宋体" w:eastAsia="宋体" w:cs="Times New Roman"/>
                <w:bCs/>
                <w:iCs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</w:rPr>
              <w:t>业绩说明会</w:t>
            </w:r>
          </w:p>
          <w:p>
            <w:pPr>
              <w:spacing w:line="480" w:lineRule="atLeast"/>
              <w:rPr>
                <w:rFonts w:ascii="宋体" w:hAnsi="宋体" w:eastAsia="宋体" w:cs="Times New Roman"/>
                <w:bCs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iCs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</w:rPr>
              <w:t xml:space="preserve">新闻发布会          </w:t>
            </w:r>
            <w:r>
              <w:rPr>
                <w:rFonts w:hint="eastAsia" w:ascii="宋体" w:hAnsi="宋体" w:eastAsia="宋体" w:cs="Times New Roman"/>
                <w:bCs/>
                <w:iCs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</w:rPr>
              <w:t>路演活动</w:t>
            </w:r>
          </w:p>
          <w:p>
            <w:pPr>
              <w:tabs>
                <w:tab w:val="left" w:pos="3045"/>
                <w:tab w:val="center" w:pos="3199"/>
              </w:tabs>
              <w:spacing w:line="480" w:lineRule="atLeast"/>
              <w:rPr>
                <w:rFonts w:ascii="宋体" w:hAnsi="宋体" w:eastAsia="宋体" w:cs="Times New Roman"/>
                <w:bCs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iCs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</w:rPr>
              <w:t>现场参观</w:t>
            </w:r>
            <w:r>
              <w:rPr>
                <w:rFonts w:hint="eastAsia" w:ascii="宋体" w:hAnsi="宋体" w:eastAsia="宋体" w:cs="Times New Roman"/>
                <w:bCs/>
                <w:iCs/>
                <w:color w:val="000000"/>
                <w:kern w:val="0"/>
                <w:sz w:val="24"/>
                <w:szCs w:val="24"/>
              </w:rPr>
              <w:tab/>
            </w:r>
          </w:p>
          <w:p>
            <w:pPr>
              <w:tabs>
                <w:tab w:val="center" w:pos="3199"/>
              </w:tabs>
              <w:spacing w:line="480" w:lineRule="atLeast"/>
              <w:rPr>
                <w:rFonts w:ascii="宋体" w:hAnsi="宋体" w:eastAsia="宋体" w:cs="Times New Roman"/>
                <w:bCs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iCs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 w:eastAsia="宋体" w:cs="Times New Roman"/>
                <w:bCs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iCs/>
                <w:color w:val="000000"/>
                <w:kern w:val="0"/>
                <w:sz w:val="24"/>
                <w:szCs w:val="24"/>
              </w:rPr>
              <w:t>参与单位名称</w:t>
            </w:r>
          </w:p>
        </w:tc>
        <w:tc>
          <w:tcPr>
            <w:tcW w:w="6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eastAsia="宋体" w:cs="Times New Roman"/>
                <w:bCs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iCs/>
                <w:color w:val="000000"/>
                <w:kern w:val="0"/>
                <w:sz w:val="24"/>
                <w:szCs w:val="24"/>
              </w:rPr>
              <w:t>招商证券、工银瑞信、兴业基金、中海基金、大家资产、财通资管、盛世景投资、拾贝投资、诺安基金、沣杨资产、幸福人寿、翰亚投资、汇添富基金、平安基金、易方达基金、景顺长城、摩根华鑫、富国基金、兴全基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 w:eastAsia="宋体" w:cs="Times New Roman"/>
                <w:bCs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iCs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6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eastAsia="宋体" w:cs="Times New Roman"/>
                <w:bCs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iCs/>
                <w:color w:val="000000"/>
                <w:kern w:val="0"/>
                <w:sz w:val="24"/>
                <w:szCs w:val="24"/>
              </w:rPr>
              <w:t>2020年7月1日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eastAsia="宋体" w:cs="Times New Roman"/>
                <w:bCs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iCs/>
                <w:color w:val="000000"/>
                <w:kern w:val="0"/>
                <w:sz w:val="24"/>
                <w:szCs w:val="24"/>
              </w:rPr>
              <w:t>地点</w:t>
            </w:r>
          </w:p>
        </w:tc>
        <w:tc>
          <w:tcPr>
            <w:tcW w:w="6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eastAsia="宋体" w:cs="Times New Roman"/>
                <w:bCs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iCs/>
                <w:color w:val="000000"/>
                <w:kern w:val="0"/>
                <w:sz w:val="24"/>
                <w:szCs w:val="24"/>
              </w:rPr>
              <w:t>电话会议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 w:eastAsia="宋体" w:cs="Times New Roman"/>
                <w:bCs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iCs/>
                <w:color w:val="000000"/>
                <w:kern w:val="0"/>
                <w:sz w:val="24"/>
                <w:szCs w:val="24"/>
              </w:rPr>
              <w:t>上市公司接待人员姓名</w:t>
            </w:r>
          </w:p>
        </w:tc>
        <w:tc>
          <w:tcPr>
            <w:tcW w:w="6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eastAsia="宋体" w:cs="Times New Roman"/>
                <w:bCs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iCs/>
                <w:color w:val="000000"/>
                <w:kern w:val="0"/>
                <w:sz w:val="24"/>
                <w:szCs w:val="24"/>
              </w:rPr>
              <w:t>副总</w:t>
            </w:r>
            <w:r>
              <w:rPr>
                <w:rFonts w:hint="eastAsia" w:ascii="宋体" w:hAnsi="宋体" w:eastAsia="宋体" w:cs="Times New Roman"/>
                <w:bCs/>
                <w:iCs/>
                <w:color w:val="000000"/>
                <w:kern w:val="0"/>
                <w:sz w:val="24"/>
                <w:szCs w:val="24"/>
                <w:lang w:val="en-US" w:eastAsia="zh-CN"/>
              </w:rPr>
              <w:t>经理</w:t>
            </w:r>
            <w:r>
              <w:rPr>
                <w:rFonts w:hint="eastAsia" w:ascii="宋体" w:hAnsi="宋体" w:eastAsia="宋体" w:cs="Times New Roman"/>
                <w:bCs/>
                <w:iCs/>
                <w:color w:val="000000"/>
                <w:kern w:val="0"/>
                <w:sz w:val="24"/>
                <w:szCs w:val="24"/>
              </w:rPr>
              <w:t>杨斌琦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tLeast"/>
              <w:rPr>
                <w:rFonts w:ascii="宋体" w:hAnsi="宋体" w:eastAsia="宋体" w:cs="Times New Roman"/>
                <w:bCs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iCs/>
                <w:color w:val="000000"/>
                <w:kern w:val="0"/>
                <w:sz w:val="24"/>
                <w:szCs w:val="24"/>
              </w:rPr>
              <w:t>投资者关系活动主要内容介绍</w:t>
            </w:r>
          </w:p>
        </w:tc>
        <w:tc>
          <w:tcPr>
            <w:tcW w:w="6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2"/>
              <w:numPr>
                <w:ilvl w:val="0"/>
                <w:numId w:val="0"/>
              </w:numPr>
              <w:spacing w:before="156" w:beforeLines="50" w:after="156" w:afterLines="50" w:line="520" w:lineRule="exact"/>
              <w:ind w:firstLine="482" w:firstLineChars="200"/>
              <w:rPr>
                <w:rFonts w:hint="eastAsia" w:eastAsia="宋体" w:cs="宋体" w:asciiTheme="minorEastAsia" w:hAnsiTheme="minorEastAsia"/>
                <w:b/>
                <w:color w:val="000000" w:themeColor="text1"/>
                <w:kern w:val="0"/>
                <w:sz w:val="24"/>
                <w:szCs w:val="24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宋体" w:asciiTheme="minorEastAsia" w:hAnsiTheme="minorEastAsia"/>
                <w:b/>
                <w:color w:val="000000" w:themeColor="text1"/>
                <w:kern w:val="0"/>
                <w:sz w:val="24"/>
                <w:szCs w:val="24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1、</w:t>
            </w:r>
            <w:r>
              <w:rPr>
                <w:rFonts w:hint="eastAsia" w:eastAsia="宋体" w:cs="宋体" w:asciiTheme="minorEastAsia" w:hAnsiTheme="minorEastAsia"/>
                <w:b/>
                <w:color w:val="000000" w:themeColor="text1"/>
                <w:kern w:val="0"/>
                <w:sz w:val="24"/>
                <w:szCs w:val="24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公司电商业务的概况？</w:t>
            </w:r>
          </w:p>
          <w:p>
            <w:pPr>
              <w:autoSpaceDE/>
              <w:autoSpaceDN/>
              <w:adjustRightInd/>
              <w:spacing w:before="156" w:beforeLines="50" w:after="156" w:afterLines="50" w:line="520" w:lineRule="exact"/>
              <w:ind w:firstLine="480" w:firstLineChars="200"/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公司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电商业务专注于打造自有品牌的发展路线，拥有在售产品的品牌和知识产权，已形成RavPower、TaoTronics、VAVA、Anjou、Sable、HooToo六大品牌，主要产品品类包括电源类、蓝牙音频类、家用电器类、电脑手机周边类、个护健康类、家纺家居类、智能硬件类、美妆个护等。公司电商业务主要集中在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亚马逊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平台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:lang w:val="en-US"/>
                <w14:textFill>
                  <w14:solidFill>
                    <w14:schemeClr w14:val="tx1"/>
                  </w14:solidFill>
                </w14:textFill>
              </w:rPr>
              <w:t>部分产品在亚马逊的线上市场份额位于前列，如移动电源、蓝牙发射器、LED台灯、蓝牙耳机、加湿器等等。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公司全资子公司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:lang w:val="en-US"/>
                <w14:textFill>
                  <w14:solidFill>
                    <w14:schemeClr w14:val="tx1"/>
                  </w14:solidFill>
                </w14:textFill>
              </w:rPr>
              <w:t>泽宝技术2008 年开始在亚马逊平台开展 B2C 业务，迄今已超过十年，推广自有品牌产品已有六年，通过产品占有率和口碑的长期渗透，已打造出多个具备一定市场影响力的亚马逊线上品牌。在2019亚马逊全球开店中国出口跨境品牌百强中，泽宝技术旗下RavPower、TaoTronics、VAVA、Sable四大品牌位列其中。公司在2019年获得亚马逊年度最具产品创新力卖家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:lang w:val="en-US"/>
                <w14:textFill>
                  <w14:solidFill>
                    <w14:schemeClr w14:val="tx1"/>
                  </w14:solidFill>
                </w14:textFill>
              </w:rPr>
              <w:t>亚马逊全球物流团队年度运输贡献奖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:lang w:val="en-US"/>
                <w14:textFill>
                  <w14:solidFill>
                    <w14:schemeClr w14:val="tx1"/>
                  </w14:solidFill>
                </w14:textFill>
              </w:rPr>
              <w:t>年度成长卓越奖。</w:t>
            </w:r>
          </w:p>
          <w:p>
            <w:pPr>
              <w:spacing w:before="156" w:beforeLines="50" w:after="156" w:afterLines="50" w:line="520" w:lineRule="exact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  <w:p>
            <w:pPr>
              <w:pStyle w:val="22"/>
              <w:numPr>
                <w:ilvl w:val="0"/>
                <w:numId w:val="0"/>
              </w:numPr>
              <w:spacing w:before="156" w:beforeLines="50" w:after="156" w:afterLines="50" w:line="520" w:lineRule="exact"/>
              <w:ind w:firstLine="482" w:firstLineChars="200"/>
              <w:rPr>
                <w:rFonts w:hint="eastAsia" w:eastAsia="宋体" w:cs="宋体" w:asciiTheme="minorEastAsia" w:hAnsiTheme="minorEastAsia"/>
                <w:b/>
                <w:color w:val="000000" w:themeColor="text1"/>
                <w:kern w:val="0"/>
                <w:sz w:val="24"/>
                <w:szCs w:val="24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宋体" w:asciiTheme="minorEastAsia" w:hAnsiTheme="minorEastAsia"/>
                <w:b/>
                <w:color w:val="000000" w:themeColor="text1"/>
                <w:kern w:val="0"/>
                <w:sz w:val="24"/>
                <w:szCs w:val="24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2、亚马逊平台的特点？与其他平台的差异？</w:t>
            </w:r>
          </w:p>
          <w:p>
            <w:pPr>
              <w:pStyle w:val="22"/>
              <w:spacing w:before="156" w:beforeLines="50" w:after="156" w:afterLines="50" w:line="520" w:lineRule="exact"/>
              <w:ind w:firstLine="480"/>
              <w:rPr>
                <w:rFonts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亚马逊平台对品牌高度重视，其程度远高于WISH及速卖通平台。同时，亚马逊平台“重产品，轻店铺”的理念，与阿里平台运营重点有所差异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亚马逊平台运营主要依靠推单品、推爆款，同时弱化店铺和品牌概念。此外，亚马逊平台运营主要遵从单一产品页面原则，以销售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苹果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手机为例，整个亚马逊平台只有一个页面，销售相同商品的卖家在同一个页面进行竞争。通过单一产品页面原则，将流量折叠在产品上，从而使得产品做到最好。</w:t>
            </w:r>
          </w:p>
          <w:p>
            <w:pPr>
              <w:pStyle w:val="22"/>
              <w:spacing w:before="156" w:beforeLines="50" w:after="156" w:afterLines="50" w:line="520" w:lineRule="exact"/>
              <w:ind w:firstLine="480"/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亚马逊平台运营优势主要体现在不论有多少卖家，都能将流量集中，使得产品效益放大，从而提高亚马逊整体效率。在后端配送方面，亚马逊让卖家把成本降到最低。同时，通过“抢黄金购物车”机制，形成产品内部竞争，提高产品转化率。</w:t>
            </w:r>
          </w:p>
          <w:p>
            <w:pPr>
              <w:pStyle w:val="22"/>
              <w:numPr>
                <w:ilvl w:val="0"/>
                <w:numId w:val="0"/>
              </w:numPr>
              <w:spacing w:before="156" w:beforeLines="50" w:after="156" w:afterLines="50" w:line="520" w:lineRule="exact"/>
              <w:ind w:firstLine="482" w:firstLineChars="200"/>
              <w:rPr>
                <w:rFonts w:hint="eastAsia" w:eastAsia="宋体" w:cs="宋体" w:asciiTheme="minorEastAsia" w:hAnsiTheme="minorEastAsia"/>
                <w:b/>
                <w:color w:val="000000" w:themeColor="text1"/>
                <w:kern w:val="0"/>
                <w:sz w:val="24"/>
                <w:szCs w:val="24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宋体" w:asciiTheme="minorEastAsia" w:hAnsiTheme="minorEastAsia"/>
                <w:b/>
                <w:color w:val="000000" w:themeColor="text1"/>
                <w:kern w:val="0"/>
                <w:sz w:val="24"/>
                <w:szCs w:val="24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3、公司考虑在其他电商平台销售吗？</w:t>
            </w:r>
          </w:p>
          <w:p>
            <w:pPr>
              <w:spacing w:before="156" w:beforeLines="50" w:after="156" w:afterLines="50" w:line="520" w:lineRule="exact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公司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在其他电商平台也有销售，但主要集中在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亚马逊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平台。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亚马逊每年保持30%的增长，平台的体量足够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支撑公司业务发展。此外公司还努力开拓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线下B2B业务，主要向欧美日等发达国家和地区的</w:t>
            </w:r>
            <w:r>
              <w:rPr>
                <w:rFonts w:ascii="宋体" w:hAnsi="宋体" w:eastAsia="宋体" w:cs="宋体"/>
                <w:sz w:val="24"/>
                <w:szCs w:val="24"/>
              </w:rPr>
              <w:t>大型连锁商超、电信运营商，以及新兴市场的品牌代理商开展买断式销售业务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。</w:t>
            </w:r>
            <w:bookmarkStart w:id="0" w:name="_GoBack"/>
            <w:bookmarkEnd w:id="0"/>
          </w:p>
          <w:p>
            <w:pPr>
              <w:pStyle w:val="22"/>
              <w:numPr>
                <w:ilvl w:val="0"/>
                <w:numId w:val="0"/>
              </w:numPr>
              <w:spacing w:before="156" w:beforeLines="50" w:after="156" w:afterLines="50" w:line="520" w:lineRule="exact"/>
              <w:ind w:firstLine="482" w:firstLineChars="200"/>
              <w:rPr>
                <w:rFonts w:hint="eastAsia" w:eastAsia="宋体" w:cs="宋体" w:asciiTheme="minorEastAsia" w:hAnsiTheme="minorEastAsia"/>
                <w:b/>
                <w:color w:val="000000" w:themeColor="text1"/>
                <w:kern w:val="0"/>
                <w:sz w:val="24"/>
                <w:szCs w:val="24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宋体" w:asciiTheme="minorEastAsia" w:hAnsiTheme="minorEastAsia"/>
                <w:b/>
                <w:color w:val="000000" w:themeColor="text1"/>
                <w:kern w:val="0"/>
                <w:sz w:val="24"/>
                <w:szCs w:val="24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4、电商业务都在美国吗？</w:t>
            </w:r>
          </w:p>
          <w:p>
            <w:pPr>
              <w:pStyle w:val="22"/>
              <w:numPr>
                <w:ilvl w:val="-1"/>
                <w:numId w:val="0"/>
              </w:numPr>
              <w:spacing w:before="156" w:beforeLines="50" w:after="156" w:afterLines="50" w:line="520" w:lineRule="exact"/>
              <w:ind w:leftChars="0" w:firstLine="480"/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美国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约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50%，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欧洲及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其他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国家和地区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50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%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  <w:p>
            <w:pPr>
              <w:pStyle w:val="22"/>
              <w:numPr>
                <w:ilvl w:val="0"/>
                <w:numId w:val="0"/>
              </w:numPr>
              <w:spacing w:before="156" w:beforeLines="50" w:after="156" w:afterLines="50" w:line="520" w:lineRule="exact"/>
              <w:ind w:firstLine="482" w:firstLineChars="200"/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宋体" w:asciiTheme="minorEastAsia" w:hAnsiTheme="minorEastAsia"/>
                <w:b/>
                <w:color w:val="000000" w:themeColor="text1"/>
                <w:kern w:val="0"/>
                <w:sz w:val="24"/>
                <w:szCs w:val="24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5、</w:t>
            </w:r>
            <w:r>
              <w:rPr>
                <w:rFonts w:hint="eastAsia" w:eastAsia="宋体" w:cs="宋体" w:asciiTheme="minorEastAsia" w:hAnsiTheme="minorEastAsia"/>
                <w:b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公司</w:t>
            </w:r>
            <w:r>
              <w:rPr>
                <w:rFonts w:hint="eastAsia" w:eastAsia="宋体" w:cs="宋体" w:asciiTheme="minorEastAsia" w:hAnsiTheme="minorEastAsia"/>
                <w:b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今年电商业务的经营情况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？</w:t>
            </w:r>
          </w:p>
          <w:p>
            <w:pPr>
              <w:spacing w:before="156" w:beforeLines="50" w:after="156" w:afterLines="50" w:line="520" w:lineRule="exact"/>
              <w:ind w:firstLine="480" w:firstLineChars="200"/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受疫情影响，公司电源品类产品销量有所下降，家用电器类、蓝牙音频类、智能硬件类增长较大，总体经营情况良好。</w:t>
            </w:r>
          </w:p>
          <w:p>
            <w:pPr>
              <w:spacing w:before="156" w:beforeLines="50" w:after="156" w:afterLines="50" w:line="520" w:lineRule="exact"/>
              <w:ind w:firstLine="480" w:firstLineChars="200"/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before="156" w:beforeLines="50" w:after="156" w:afterLines="50" w:line="480" w:lineRule="exact"/>
              <w:rPr>
                <w:rFonts w:eastAsia="宋体" w:cs="宋体" w:asciiTheme="minorEastAsia" w:hAnsiTheme="minorEastAsia"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0"/>
                <w:szCs w:val="20"/>
              </w:rPr>
              <w:t>接待过程中，公司严格按照《信息披露管理制度》等规定，保证信息披露的真实、准确、完整、及时、公平。没有出现未公开重大信息泄露等情况，</w:t>
            </w:r>
            <w:r>
              <w:rPr>
                <w:rFonts w:hint="eastAsia" w:ascii="Times New Roman" w:hAnsi="Times New Roman" w:eastAsia="宋体" w:cs="Times New Roman"/>
                <w:b/>
                <w:bCs/>
                <w:iCs/>
                <w:kern w:val="0"/>
                <w:sz w:val="20"/>
                <w:szCs w:val="20"/>
              </w:rPr>
              <w:t>同时已按深交所要求签署调研《承诺书》。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tLeast"/>
              <w:rPr>
                <w:rFonts w:eastAsia="宋体" w:cs="宋体" w:asciiTheme="minorEastAsia" w:hAnsiTheme="minorEastAsia"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宋体" w:asciiTheme="minorEastAsia" w:hAnsiTheme="minorEastAsia"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附件清单（如有）</w:t>
            </w:r>
          </w:p>
        </w:tc>
        <w:tc>
          <w:tcPr>
            <w:tcW w:w="6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tLeast"/>
              <w:rPr>
                <w:rFonts w:eastAsia="宋体" w:cs="宋体" w:asciiTheme="minorEastAsia" w:hAnsiTheme="minorEastAsia"/>
                <w:color w:val="000000" w:themeColor="text1"/>
                <w:kern w:val="0"/>
                <w:sz w:val="24"/>
                <w:szCs w:val="24"/>
                <w:u w:val="singl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宋体" w:asciiTheme="minorEastAsia" w:hAnsiTheme="minorEastAsia"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  <w:p>
            <w:pPr>
              <w:spacing w:line="480" w:lineRule="atLeast"/>
              <w:rPr>
                <w:rFonts w:eastAsia="宋体" w:cs="宋体" w:asciiTheme="minorEastAsia" w:hAnsiTheme="minorEastAsia"/>
                <w:color w:val="000000" w:themeColor="text1"/>
                <w:kern w:val="0"/>
                <w:sz w:val="24"/>
                <w:szCs w:val="24"/>
                <w:u w:val="singl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" w:hRule="atLeast"/>
          <w:jc w:val="center"/>
        </w:trPr>
        <w:tc>
          <w:tcPr>
            <w:tcW w:w="1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tLeast"/>
              <w:rPr>
                <w:rFonts w:ascii="宋体" w:hAnsi="宋体" w:eastAsia="宋体" w:cs="Times New Roman"/>
                <w:bCs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iCs/>
                <w:color w:val="000000"/>
                <w:kern w:val="0"/>
                <w:sz w:val="24"/>
                <w:szCs w:val="24"/>
              </w:rPr>
              <w:t>日期</w:t>
            </w:r>
          </w:p>
        </w:tc>
        <w:tc>
          <w:tcPr>
            <w:tcW w:w="6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tLeast"/>
              <w:rPr>
                <w:rFonts w:hint="eastAsia" w:ascii="宋体" w:hAnsi="宋体" w:eastAsia="宋体" w:cs="Times New Roman"/>
                <w:bCs/>
                <w:i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Cs/>
                <w:iCs/>
                <w:color w:val="000000"/>
                <w:kern w:val="0"/>
                <w:sz w:val="24"/>
                <w:szCs w:val="24"/>
              </w:rPr>
              <w:t>2020年7月</w:t>
            </w:r>
            <w:r>
              <w:rPr>
                <w:rFonts w:hint="eastAsia" w:ascii="宋体" w:hAnsi="宋体" w:eastAsia="宋体" w:cs="Times New Roman"/>
                <w:bCs/>
                <w:iCs/>
                <w:color w:val="000000"/>
                <w:kern w:val="0"/>
                <w:sz w:val="24"/>
                <w:szCs w:val="24"/>
                <w:lang w:val="en-US" w:eastAsia="zh-CN"/>
              </w:rPr>
              <w:t>1日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4F51F5"/>
    <w:multiLevelType w:val="multilevel"/>
    <w:tmpl w:val="6C4F51F5"/>
    <w:lvl w:ilvl="0" w:tentative="0">
      <w:start w:val="1"/>
      <w:numFmt w:val="decimal"/>
      <w:pStyle w:val="2"/>
      <w:suff w:val="space"/>
      <w:lvlText w:val="%1"/>
      <w:lvlJc w:val="left"/>
      <w:pPr>
        <w:ind w:left="0" w:firstLine="0"/>
      </w:pPr>
      <w:rPr>
        <w:rFonts w:hint="eastAsia" w:ascii="黑体" w:eastAsia="黑体"/>
        <w:b w:val="0"/>
        <w:i w:val="0"/>
        <w:caps w:val="0"/>
        <w:strike w:val="0"/>
        <w:dstrike w:val="0"/>
        <w:vanish w:val="0"/>
        <w:color w:val="000000"/>
        <w:spacing w:val="0"/>
        <w:w w:val="100"/>
        <w:kern w:val="10"/>
        <w:position w:val="0"/>
        <w:sz w:val="21"/>
        <w:u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1" w:tentative="0">
      <w:start w:val="1"/>
      <w:numFmt w:val="decimal"/>
      <w:pStyle w:val="3"/>
      <w:suff w:val="space"/>
      <w:lvlText w:val="%1.%2"/>
      <w:lvlJc w:val="left"/>
      <w:pPr>
        <w:ind w:left="0" w:firstLine="0"/>
      </w:pPr>
      <w:rPr>
        <w:rFonts w:hint="eastAsia" w:ascii="黑体" w:eastAsia="黑体"/>
        <w:b w:val="0"/>
        <w:i w:val="0"/>
        <w:caps w:val="0"/>
        <w:strike w:val="0"/>
        <w:dstrike w:val="0"/>
        <w:vanish w:val="0"/>
        <w:color w:val="000000"/>
        <w:spacing w:val="0"/>
        <w:w w:val="100"/>
        <w:kern w:val="16"/>
        <w:position w:val="0"/>
        <w:sz w:val="21"/>
        <w:u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2" w:tentative="0">
      <w:start w:val="1"/>
      <w:numFmt w:val="decimal"/>
      <w:pStyle w:val="4"/>
      <w:suff w:val="space"/>
      <w:lvlText w:val="%1.%2.%3"/>
      <w:lvlJc w:val="left"/>
      <w:pPr>
        <w:ind w:left="0" w:firstLine="0"/>
      </w:pPr>
      <w:rPr>
        <w:rFonts w:hint="eastAsia" w:ascii="黑体" w:eastAsia="黑体"/>
        <w:b w:val="0"/>
        <w:i w:val="0"/>
        <w:caps w:val="0"/>
        <w:strike w:val="0"/>
        <w:dstrike w:val="0"/>
        <w:vanish w:val="0"/>
        <w:color w:val="000000"/>
        <w:spacing w:val="0"/>
        <w:w w:val="100"/>
        <w:kern w:val="10"/>
        <w:position w:val="0"/>
        <w:sz w:val="21"/>
        <w:u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3" w:tentative="0">
      <w:start w:val="1"/>
      <w:numFmt w:val="decimal"/>
      <w:pStyle w:val="5"/>
      <w:suff w:val="space"/>
      <w:lvlText w:val="%1.%2.%3.%4"/>
      <w:lvlJc w:val="left"/>
      <w:pPr>
        <w:ind w:left="0" w:firstLine="0"/>
      </w:pPr>
      <w:rPr>
        <w:rFonts w:hint="eastAsia" w:ascii="黑体" w:eastAsia="黑体"/>
        <w:b w:val="0"/>
        <w:i w:val="0"/>
        <w:caps w:val="0"/>
        <w:strike w:val="0"/>
        <w:dstrike w:val="0"/>
        <w:vanish w:val="0"/>
        <w:color w:val="000000"/>
        <w:spacing w:val="0"/>
        <w:w w:val="100"/>
        <w:kern w:val="18"/>
        <w:position w:val="0"/>
        <w:sz w:val="21"/>
        <w:u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4" w:tentative="0">
      <w:start w:val="1"/>
      <w:numFmt w:val="decimal"/>
      <w:pStyle w:val="6"/>
      <w:suff w:val="space"/>
      <w:lvlText w:val="%1.%2.%3.%4.%5"/>
      <w:lvlJc w:val="left"/>
      <w:pPr>
        <w:ind w:left="0" w:firstLine="0"/>
      </w:pPr>
      <w:rPr>
        <w:rFonts w:hint="eastAsia" w:ascii="黑体" w:eastAsia="黑体"/>
        <w:b w:val="0"/>
        <w:i w:val="0"/>
        <w:caps w:val="0"/>
        <w:strike w:val="0"/>
        <w:dstrike w:val="0"/>
        <w:vanish w:val="0"/>
        <w:color w:val="000000"/>
        <w:spacing w:val="0"/>
        <w:w w:val="100"/>
        <w:kern w:val="18"/>
        <w:position w:val="0"/>
        <w:sz w:val="21"/>
        <w:u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eastAsia" w:ascii="黑体" w:eastAsia="黑体"/>
        <w:b w:val="0"/>
        <w:i w:val="0"/>
        <w:caps w:val="0"/>
        <w:strike w:val="0"/>
        <w:dstrike w:val="0"/>
        <w:vanish w:val="0"/>
        <w:color w:val="000000"/>
        <w:spacing w:val="0"/>
        <w:w w:val="100"/>
        <w:kern w:val="16"/>
        <w:position w:val="0"/>
        <w:sz w:val="21"/>
        <w:u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6" w:tentative="0">
      <w:start w:val="1"/>
      <w:numFmt w:val="decimal"/>
      <w:lvlText w:val="%1.%2.%3.%4.%5.%6.%7"/>
      <w:lvlJc w:val="left"/>
      <w:pPr>
        <w:tabs>
          <w:tab w:val="left" w:pos="1440"/>
        </w:tabs>
        <w:ind w:left="1296" w:hanging="1296"/>
      </w:pPr>
      <w:rPr>
        <w:rFonts w:hint="eastAsia"/>
      </w:rPr>
    </w:lvl>
    <w:lvl w:ilvl="7" w:tentative="0">
      <w:start w:val="1"/>
      <w:numFmt w:val="lowerLetter"/>
      <w:suff w:val="space"/>
      <w:lvlText w:val="%1.%2.%3.%4.%5.%6.%7.%8)"/>
      <w:lvlJc w:val="left"/>
      <w:pPr>
        <w:ind w:left="227" w:firstLine="198"/>
      </w:pPr>
      <w:rPr>
        <w:rFonts w:hint="eastAsia" w:ascii="黑体" w:eastAsia="黑体"/>
        <w:b w:val="0"/>
        <w:i w:val="0"/>
        <w:caps w:val="0"/>
        <w:strike w:val="0"/>
        <w:dstrike w:val="0"/>
        <w:vanish w:val="0"/>
        <w:color w:val="000000"/>
        <w:spacing w:val="0"/>
        <w:w w:val="100"/>
        <w:kern w:val="16"/>
        <w:position w:val="0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800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B6ADE99-BE82-4AAB-8DC2-6187F203DCB1}">
  <ds:schemaRefs/>
</ds:datastoreItem>
</file>